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5" w:rsidRPr="00794F5A" w:rsidRDefault="004C6175" w:rsidP="004C6175">
      <w:pPr>
        <w:jc w:val="center"/>
        <w:rPr>
          <w:b/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 xml:space="preserve">DĖL </w:t>
      </w:r>
      <w:r w:rsidR="003F622B" w:rsidRPr="004E32BE">
        <w:rPr>
          <w:b/>
          <w:sz w:val="24"/>
          <w:szCs w:val="24"/>
          <w:lang w:val="lt-LT"/>
        </w:rPr>
        <w:t xml:space="preserve">ROKIŠKIO RAJONO SAVIVALDYBĖS TARYBOS </w:t>
      </w:r>
      <w:r w:rsidR="003F622B">
        <w:rPr>
          <w:b/>
          <w:sz w:val="24"/>
          <w:szCs w:val="24"/>
          <w:lang w:val="lt-LT"/>
        </w:rPr>
        <w:t>201</w:t>
      </w:r>
      <w:r w:rsidR="007E2E9B">
        <w:rPr>
          <w:b/>
          <w:sz w:val="24"/>
          <w:szCs w:val="24"/>
          <w:lang w:val="lt-LT"/>
        </w:rPr>
        <w:t>7</w:t>
      </w:r>
      <w:r w:rsidR="003F622B">
        <w:rPr>
          <w:b/>
          <w:sz w:val="24"/>
          <w:szCs w:val="24"/>
          <w:lang w:val="lt-LT"/>
        </w:rPr>
        <w:t xml:space="preserve"> M. </w:t>
      </w:r>
      <w:r w:rsidR="007E2E9B">
        <w:rPr>
          <w:b/>
          <w:sz w:val="24"/>
          <w:szCs w:val="24"/>
          <w:lang w:val="lt-LT"/>
        </w:rPr>
        <w:t>LAPKRIČIO</w:t>
      </w:r>
      <w:r w:rsidR="003F622B">
        <w:rPr>
          <w:b/>
          <w:sz w:val="24"/>
          <w:szCs w:val="24"/>
          <w:lang w:val="lt-LT"/>
        </w:rPr>
        <w:t xml:space="preserve"> </w:t>
      </w:r>
      <w:r w:rsidR="007E2E9B">
        <w:rPr>
          <w:b/>
          <w:sz w:val="24"/>
          <w:szCs w:val="24"/>
          <w:lang w:val="lt-LT"/>
        </w:rPr>
        <w:t>30</w:t>
      </w:r>
      <w:r w:rsidR="003F622B">
        <w:rPr>
          <w:b/>
          <w:sz w:val="24"/>
          <w:szCs w:val="24"/>
          <w:lang w:val="lt-LT"/>
        </w:rPr>
        <w:t xml:space="preserve"> D. SPRENDIMO NR. TS-1</w:t>
      </w:r>
      <w:r w:rsidR="007E2E9B">
        <w:rPr>
          <w:b/>
          <w:sz w:val="24"/>
          <w:szCs w:val="24"/>
          <w:lang w:val="lt-LT"/>
        </w:rPr>
        <w:t>99</w:t>
      </w:r>
      <w:r w:rsidR="003F622B">
        <w:rPr>
          <w:b/>
          <w:sz w:val="24"/>
          <w:szCs w:val="24"/>
          <w:lang w:val="lt-LT"/>
        </w:rPr>
        <w:t xml:space="preserve"> „DĖL </w:t>
      </w:r>
      <w:r w:rsidRPr="00794F5A">
        <w:rPr>
          <w:b/>
          <w:sz w:val="24"/>
          <w:szCs w:val="24"/>
          <w:lang w:val="lt-LT"/>
        </w:rPr>
        <w:t>ROKIŠKIO RAJONO SAVIVALDYBĖS BŪSTO FONDO IR SOCIALINIO BŪSTO FONDO SĄRAŠŲ PATVIRTINIMO</w:t>
      </w:r>
      <w:r w:rsidR="003F622B">
        <w:rPr>
          <w:b/>
          <w:sz w:val="24"/>
          <w:szCs w:val="24"/>
          <w:lang w:val="lt-LT"/>
        </w:rPr>
        <w:t>“ DALINIO PAKEITIMO</w:t>
      </w:r>
    </w:p>
    <w:p w:rsidR="004C6175" w:rsidRPr="00794F5A" w:rsidRDefault="004C6175" w:rsidP="004C6175">
      <w:pPr>
        <w:jc w:val="center"/>
        <w:rPr>
          <w:sz w:val="24"/>
          <w:szCs w:val="24"/>
          <w:lang w:val="lt-LT"/>
        </w:rPr>
      </w:pPr>
    </w:p>
    <w:p w:rsidR="004C6175" w:rsidRPr="00794F5A" w:rsidRDefault="004C6175" w:rsidP="004C6175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201</w:t>
      </w:r>
      <w:r w:rsidR="003F622B">
        <w:rPr>
          <w:sz w:val="24"/>
          <w:szCs w:val="24"/>
          <w:lang w:val="lt-LT"/>
        </w:rPr>
        <w:t>8</w:t>
      </w:r>
      <w:r w:rsidRPr="00794F5A">
        <w:rPr>
          <w:sz w:val="24"/>
          <w:szCs w:val="24"/>
          <w:lang w:val="lt-LT"/>
        </w:rPr>
        <w:t xml:space="preserve"> m. </w:t>
      </w:r>
      <w:r w:rsidR="003F622B">
        <w:rPr>
          <w:sz w:val="24"/>
          <w:szCs w:val="24"/>
          <w:lang w:val="lt-LT"/>
        </w:rPr>
        <w:t>vasario</w:t>
      </w:r>
      <w:r w:rsidRPr="00794F5A">
        <w:rPr>
          <w:sz w:val="24"/>
          <w:szCs w:val="24"/>
          <w:lang w:val="lt-LT"/>
        </w:rPr>
        <w:t xml:space="preserve"> </w:t>
      </w:r>
      <w:r w:rsidR="003F622B">
        <w:rPr>
          <w:sz w:val="24"/>
          <w:szCs w:val="24"/>
          <w:lang w:val="lt-LT"/>
        </w:rPr>
        <w:t>2</w:t>
      </w:r>
      <w:r w:rsidR="007E2E9B">
        <w:rPr>
          <w:sz w:val="24"/>
          <w:szCs w:val="24"/>
          <w:lang w:val="lt-LT"/>
        </w:rPr>
        <w:t>3</w:t>
      </w:r>
      <w:r w:rsidRPr="00794F5A">
        <w:rPr>
          <w:sz w:val="24"/>
          <w:szCs w:val="24"/>
          <w:lang w:val="lt-LT"/>
        </w:rPr>
        <w:t xml:space="preserve"> d. Nr. TS-</w:t>
      </w:r>
    </w:p>
    <w:p w:rsidR="004C6175" w:rsidRPr="00794F5A" w:rsidRDefault="004C6175" w:rsidP="004C6175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Rokiškis</w:t>
      </w:r>
    </w:p>
    <w:p w:rsidR="004C6175" w:rsidRDefault="004C6175" w:rsidP="004C6175">
      <w:pPr>
        <w:rPr>
          <w:sz w:val="24"/>
          <w:szCs w:val="24"/>
          <w:lang w:val="lt-LT"/>
        </w:rPr>
      </w:pPr>
    </w:p>
    <w:p w:rsidR="00C40BCC" w:rsidRPr="00794F5A" w:rsidRDefault="00C40BCC" w:rsidP="004C6175">
      <w:pPr>
        <w:rPr>
          <w:sz w:val="24"/>
          <w:szCs w:val="24"/>
          <w:lang w:val="lt-LT"/>
        </w:rPr>
      </w:pPr>
      <w:bookmarkStart w:id="0" w:name="_GoBack"/>
      <w:bookmarkEnd w:id="0"/>
    </w:p>
    <w:p w:rsidR="00F328FE" w:rsidRPr="004F4F53" w:rsidRDefault="004C6175" w:rsidP="004F4F53">
      <w:pPr>
        <w:jc w:val="both"/>
        <w:rPr>
          <w:sz w:val="24"/>
          <w:szCs w:val="24"/>
          <w:lang w:val="lt-LT"/>
        </w:rPr>
      </w:pPr>
      <w:r w:rsidRPr="004F4F53">
        <w:rPr>
          <w:sz w:val="24"/>
          <w:szCs w:val="24"/>
          <w:lang w:val="lt-LT"/>
        </w:rPr>
        <w:tab/>
        <w:t>Vadovaudamasi Lietuvos Respublikos vietos savivaldos įstatymo 1</w:t>
      </w:r>
      <w:r w:rsidR="00520F4C" w:rsidRPr="004F4F53">
        <w:rPr>
          <w:sz w:val="24"/>
          <w:szCs w:val="24"/>
          <w:lang w:val="lt-LT"/>
        </w:rPr>
        <w:t xml:space="preserve">6 straipsnio 2 dalies 31 punktu, 18 straipsnio 1 dalimi </w:t>
      </w:r>
      <w:r w:rsidRPr="004F4F53">
        <w:rPr>
          <w:sz w:val="24"/>
          <w:szCs w:val="24"/>
          <w:lang w:val="lt-LT"/>
        </w:rPr>
        <w:t>ir Lietuvos Respublikos paramos būstui įsigyti ar išsinuomoti įstatymo 4 straipsnio 5 dalies 4 punktu, Rokiškio rajono savivaldyb</w:t>
      </w:r>
      <w:r w:rsidR="003F622B" w:rsidRPr="004F4F53">
        <w:rPr>
          <w:sz w:val="24"/>
          <w:szCs w:val="24"/>
          <w:lang w:val="lt-LT"/>
        </w:rPr>
        <w:t>ės taryba</w:t>
      </w:r>
      <w:r w:rsidR="00592A29" w:rsidRPr="004F4F53">
        <w:rPr>
          <w:sz w:val="24"/>
          <w:szCs w:val="24"/>
          <w:lang w:val="lt-LT"/>
        </w:rPr>
        <w:t xml:space="preserve"> </w:t>
      </w:r>
      <w:r w:rsidR="003F622B" w:rsidRPr="004F4F53">
        <w:rPr>
          <w:sz w:val="24"/>
          <w:szCs w:val="24"/>
          <w:lang w:val="lt-LT"/>
        </w:rPr>
        <w:t>n u s p r e n d ž i a</w:t>
      </w:r>
      <w:r w:rsidR="004F4F53">
        <w:rPr>
          <w:sz w:val="24"/>
          <w:szCs w:val="24"/>
          <w:lang w:val="lt-LT"/>
        </w:rPr>
        <w:t>:</w:t>
      </w:r>
      <w:r w:rsidR="003F622B" w:rsidRPr="004F4F53">
        <w:rPr>
          <w:sz w:val="24"/>
          <w:szCs w:val="24"/>
          <w:lang w:val="lt-LT"/>
        </w:rPr>
        <w:t xml:space="preserve"> </w:t>
      </w:r>
      <w:r w:rsidR="00592A29" w:rsidRPr="004F4F53">
        <w:rPr>
          <w:sz w:val="24"/>
          <w:szCs w:val="24"/>
          <w:lang w:val="lt-LT"/>
        </w:rPr>
        <w:tab/>
      </w:r>
    </w:p>
    <w:p w:rsidR="004C6175" w:rsidRPr="004F4F53" w:rsidRDefault="004F4F53" w:rsidP="004F4F5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1. P</w:t>
      </w:r>
      <w:r w:rsidR="00350E69" w:rsidRPr="004F4F53">
        <w:rPr>
          <w:sz w:val="24"/>
          <w:szCs w:val="24"/>
          <w:lang w:val="lt-LT"/>
        </w:rPr>
        <w:t>akeisti Rokiškio rajono tarybos 2017 m. lapkričio 30 d. sprendimo Nr. TS-199 „Dėl Rokiškio rajono savivaldybės būsto fondo ir socialinio būsto fondo sąrašų patvirtinimo“ 1 punktu patvirtintą Rokiškio rajono savivaldybės būsto fondo sąrašą taip:</w:t>
      </w:r>
    </w:p>
    <w:p w:rsidR="00350E69" w:rsidRPr="00405DF1" w:rsidRDefault="005A75E2" w:rsidP="00350E6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350E69" w:rsidRPr="00711D05">
        <w:rPr>
          <w:sz w:val="24"/>
          <w:szCs w:val="24"/>
          <w:lang w:val="lt-LT"/>
        </w:rPr>
        <w:t>Jūžintų seniūnija</w:t>
      </w:r>
    </w:p>
    <w:p w:rsidR="00350E69" w:rsidRPr="00405DF1" w:rsidRDefault="00350E69" w:rsidP="00350E69">
      <w:pPr>
        <w:jc w:val="center"/>
        <w:rPr>
          <w:lang w:val="lt-LT"/>
        </w:rPr>
      </w:pPr>
    </w:p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383"/>
        <w:gridCol w:w="3200"/>
        <w:gridCol w:w="1669"/>
      </w:tblGrid>
      <w:tr w:rsidR="0035584F" w:rsidRPr="00405DF1" w:rsidTr="00C40BCC">
        <w:trPr>
          <w:trHeight w:val="554"/>
        </w:trPr>
        <w:tc>
          <w:tcPr>
            <w:tcW w:w="1023" w:type="dxa"/>
          </w:tcPr>
          <w:p w:rsidR="0035584F" w:rsidRPr="00405DF1" w:rsidRDefault="0035584F" w:rsidP="006A265E">
            <w:pPr>
              <w:jc w:val="center"/>
              <w:rPr>
                <w:sz w:val="24"/>
                <w:szCs w:val="24"/>
                <w:lang w:val="lt-LT"/>
              </w:rPr>
            </w:pPr>
            <w:r w:rsidRPr="00405DF1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383" w:type="dxa"/>
          </w:tcPr>
          <w:p w:rsidR="0035584F" w:rsidRPr="00405DF1" w:rsidRDefault="0035584F" w:rsidP="006A265E">
            <w:pPr>
              <w:jc w:val="center"/>
              <w:rPr>
                <w:sz w:val="24"/>
                <w:szCs w:val="24"/>
                <w:lang w:val="lt-LT"/>
              </w:rPr>
            </w:pPr>
            <w:r w:rsidRPr="00405DF1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3200" w:type="dxa"/>
          </w:tcPr>
          <w:p w:rsidR="0035584F" w:rsidRPr="00405DF1" w:rsidRDefault="0035584F" w:rsidP="006A265E">
            <w:pPr>
              <w:jc w:val="center"/>
              <w:rPr>
                <w:sz w:val="24"/>
                <w:szCs w:val="24"/>
                <w:lang w:val="lt-LT"/>
              </w:rPr>
            </w:pPr>
            <w:r w:rsidRPr="00405DF1">
              <w:rPr>
                <w:sz w:val="24"/>
                <w:szCs w:val="24"/>
                <w:lang w:val="lt-LT"/>
              </w:rPr>
              <w:t>Naudingas plotas, kv. m</w:t>
            </w:r>
          </w:p>
        </w:tc>
        <w:tc>
          <w:tcPr>
            <w:tcW w:w="1669" w:type="dxa"/>
            <w:vMerge w:val="restart"/>
            <w:tcBorders>
              <w:top w:val="nil"/>
              <w:right w:val="nil"/>
            </w:tcBorders>
          </w:tcPr>
          <w:p w:rsidR="0035584F" w:rsidRPr="0035584F" w:rsidRDefault="0035584F" w:rsidP="0035584F">
            <w:pPr>
              <w:ind w:hanging="105"/>
            </w:pPr>
            <w:r>
              <w:rPr>
                <w:sz w:val="24"/>
                <w:szCs w:val="24"/>
                <w:lang w:val="lt-LT"/>
              </w:rPr>
              <w:t xml:space="preserve"> “</w:t>
            </w:r>
          </w:p>
        </w:tc>
      </w:tr>
      <w:tr w:rsidR="0035584F" w:rsidRPr="00405DF1" w:rsidTr="00C40BCC">
        <w:tc>
          <w:tcPr>
            <w:tcW w:w="1023" w:type="dxa"/>
          </w:tcPr>
          <w:p w:rsidR="0035584F" w:rsidRPr="00405DF1" w:rsidRDefault="0035584F" w:rsidP="00350E69">
            <w:pPr>
              <w:ind w:left="360"/>
              <w:rPr>
                <w:sz w:val="24"/>
                <w:szCs w:val="24"/>
                <w:lang w:val="lt-LT"/>
              </w:rPr>
            </w:pPr>
            <w:r w:rsidRPr="00405DF1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383" w:type="dxa"/>
          </w:tcPr>
          <w:p w:rsidR="0035584F" w:rsidRPr="00405DF1" w:rsidRDefault="0035584F" w:rsidP="00B368D7">
            <w:pPr>
              <w:rPr>
                <w:sz w:val="24"/>
                <w:szCs w:val="24"/>
                <w:lang w:val="lt-LT"/>
              </w:rPr>
            </w:pPr>
            <w:r w:rsidRPr="00405DF1">
              <w:rPr>
                <w:sz w:val="24"/>
                <w:szCs w:val="24"/>
                <w:lang w:val="lt-LT"/>
              </w:rPr>
              <w:t xml:space="preserve">Beržų g. </w:t>
            </w:r>
            <w:r w:rsidR="00B368D7">
              <w:rPr>
                <w:sz w:val="24"/>
                <w:szCs w:val="24"/>
                <w:lang w:val="lt-LT"/>
              </w:rPr>
              <w:t>1</w:t>
            </w:r>
            <w:r w:rsidRPr="00405DF1">
              <w:rPr>
                <w:sz w:val="24"/>
                <w:szCs w:val="24"/>
                <w:lang w:val="lt-LT"/>
              </w:rPr>
              <w:t>, Jūžintų mstl., Rokiškio r. sav.</w:t>
            </w:r>
          </w:p>
        </w:tc>
        <w:tc>
          <w:tcPr>
            <w:tcW w:w="3200" w:type="dxa"/>
          </w:tcPr>
          <w:p w:rsidR="0035584F" w:rsidRPr="00405DF1" w:rsidRDefault="0035584F" w:rsidP="006A265E">
            <w:pPr>
              <w:jc w:val="center"/>
              <w:rPr>
                <w:sz w:val="24"/>
                <w:szCs w:val="24"/>
                <w:lang w:val="lt-LT"/>
              </w:rPr>
            </w:pPr>
            <w:r w:rsidRPr="00405DF1">
              <w:rPr>
                <w:sz w:val="24"/>
                <w:szCs w:val="24"/>
                <w:lang w:val="lt-LT"/>
              </w:rPr>
              <w:t>218,73</w:t>
            </w:r>
          </w:p>
        </w:tc>
        <w:tc>
          <w:tcPr>
            <w:tcW w:w="1669" w:type="dxa"/>
            <w:vMerge/>
            <w:tcBorders>
              <w:bottom w:val="nil"/>
              <w:right w:val="nil"/>
            </w:tcBorders>
          </w:tcPr>
          <w:p w:rsidR="0035584F" w:rsidRPr="00405DF1" w:rsidRDefault="0035584F" w:rsidP="0035584F">
            <w:pPr>
              <w:ind w:hanging="105"/>
              <w:rPr>
                <w:sz w:val="24"/>
                <w:szCs w:val="24"/>
                <w:lang w:val="lt-LT"/>
              </w:rPr>
            </w:pPr>
          </w:p>
        </w:tc>
      </w:tr>
    </w:tbl>
    <w:p w:rsidR="00C40BCC" w:rsidRDefault="004F4F53" w:rsidP="004F4F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328FE" w:rsidRPr="004F4F53" w:rsidRDefault="004F4F53" w:rsidP="00C40BCC">
      <w:pPr>
        <w:ind w:firstLine="720"/>
        <w:jc w:val="both"/>
        <w:rPr>
          <w:sz w:val="24"/>
          <w:szCs w:val="24"/>
          <w:lang w:val="lt-LT"/>
        </w:rPr>
      </w:pPr>
      <w:r w:rsidRPr="004F4F53">
        <w:rPr>
          <w:sz w:val="24"/>
          <w:szCs w:val="24"/>
          <w:lang w:val="lt-LT"/>
        </w:rPr>
        <w:t>2. Į</w:t>
      </w:r>
      <w:r w:rsidR="00F328FE" w:rsidRPr="004F4F53">
        <w:rPr>
          <w:sz w:val="24"/>
          <w:szCs w:val="24"/>
          <w:lang w:val="lt-LT"/>
        </w:rPr>
        <w:t>traukti į Rokiškio rajono savivaldybės būsto fondo ir Rokiškio rajono savivaldybės socialinio būsto, kaip Rokiškio rajono savivaldybės būsto fondo dalies</w:t>
      </w:r>
      <w:r w:rsidR="0035584F">
        <w:rPr>
          <w:sz w:val="24"/>
          <w:szCs w:val="24"/>
          <w:lang w:val="lt-LT"/>
        </w:rPr>
        <w:t>,</w:t>
      </w:r>
      <w:r w:rsidR="00F328FE" w:rsidRPr="004F4F53">
        <w:rPr>
          <w:sz w:val="24"/>
          <w:szCs w:val="24"/>
          <w:lang w:val="lt-LT"/>
        </w:rPr>
        <w:t xml:space="preserve"> sąrašus Rokiškio mieste esančius socialinius būstus :</w:t>
      </w:r>
    </w:p>
    <w:p w:rsidR="00F328FE" w:rsidRPr="004F4F53" w:rsidRDefault="004F4F53" w:rsidP="004F4F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325016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 </w:t>
      </w:r>
      <w:r w:rsidR="00F328FE" w:rsidRPr="004F4F53">
        <w:rPr>
          <w:sz w:val="24"/>
          <w:szCs w:val="24"/>
          <w:lang w:val="lt-LT"/>
        </w:rPr>
        <w:t>Taikos g. 5-6, Rokiškis (</w:t>
      </w:r>
      <w:r w:rsidR="00C40910">
        <w:rPr>
          <w:sz w:val="24"/>
          <w:szCs w:val="24"/>
          <w:lang w:val="lt-LT"/>
        </w:rPr>
        <w:t>naudingas plotas 46,05 kv. m</w:t>
      </w:r>
      <w:r w:rsidR="00F328FE" w:rsidRPr="004F4F53">
        <w:rPr>
          <w:sz w:val="24"/>
          <w:szCs w:val="24"/>
          <w:lang w:val="lt-LT"/>
        </w:rPr>
        <w:t>)</w:t>
      </w:r>
      <w:r w:rsidR="0035584F">
        <w:rPr>
          <w:sz w:val="24"/>
          <w:szCs w:val="24"/>
          <w:lang w:val="lt-LT"/>
        </w:rPr>
        <w:t>;</w:t>
      </w:r>
      <w:r w:rsidR="00F328FE" w:rsidRPr="004F4F53">
        <w:rPr>
          <w:sz w:val="24"/>
          <w:szCs w:val="24"/>
          <w:lang w:val="lt-LT"/>
        </w:rPr>
        <w:t xml:space="preserve"> </w:t>
      </w:r>
    </w:p>
    <w:p w:rsidR="00F328FE" w:rsidRPr="004F4F53" w:rsidRDefault="004F4F53" w:rsidP="004F4F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325016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F328FE" w:rsidRPr="004F4F53">
        <w:rPr>
          <w:sz w:val="24"/>
          <w:szCs w:val="24"/>
          <w:lang w:val="lt-LT"/>
        </w:rPr>
        <w:t>Algirdo g. 8-22 Rokiškis (</w:t>
      </w:r>
      <w:r w:rsidR="00C40910">
        <w:rPr>
          <w:sz w:val="24"/>
          <w:szCs w:val="24"/>
          <w:lang w:val="lt-LT"/>
        </w:rPr>
        <w:t>naudingas plotas 37,04 kv. m</w:t>
      </w:r>
      <w:r w:rsidR="00F328FE" w:rsidRPr="004F4F53">
        <w:rPr>
          <w:sz w:val="24"/>
          <w:szCs w:val="24"/>
          <w:lang w:val="lt-LT"/>
        </w:rPr>
        <w:t>)</w:t>
      </w:r>
      <w:r w:rsidR="0035584F">
        <w:rPr>
          <w:sz w:val="24"/>
          <w:szCs w:val="24"/>
          <w:lang w:val="lt-LT"/>
        </w:rPr>
        <w:t>;</w:t>
      </w:r>
      <w:r w:rsidR="00F328FE" w:rsidRPr="004F4F53">
        <w:rPr>
          <w:sz w:val="24"/>
          <w:szCs w:val="24"/>
          <w:lang w:val="lt-LT"/>
        </w:rPr>
        <w:t xml:space="preserve"> </w:t>
      </w:r>
    </w:p>
    <w:p w:rsidR="00F328FE" w:rsidRPr="004F4F53" w:rsidRDefault="004F4F53" w:rsidP="004F4F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2.3. </w:t>
      </w:r>
      <w:r w:rsidR="00F328FE" w:rsidRPr="004F4F53">
        <w:rPr>
          <w:sz w:val="24"/>
          <w:szCs w:val="24"/>
          <w:lang w:val="lt-LT"/>
        </w:rPr>
        <w:t>Aukštaičių g. 3-9, Rokiškis (</w:t>
      </w:r>
      <w:r w:rsidR="00C40910">
        <w:rPr>
          <w:sz w:val="24"/>
          <w:szCs w:val="24"/>
          <w:lang w:val="lt-LT"/>
        </w:rPr>
        <w:t>naudingas plotas 57,29 kv. m</w:t>
      </w:r>
      <w:r w:rsidR="00F328FE" w:rsidRPr="004F4F53">
        <w:rPr>
          <w:sz w:val="24"/>
          <w:szCs w:val="24"/>
          <w:lang w:val="lt-LT"/>
        </w:rPr>
        <w:t>).</w:t>
      </w:r>
    </w:p>
    <w:p w:rsidR="00F64041" w:rsidRPr="00F328FE" w:rsidRDefault="00F64041" w:rsidP="00F64041">
      <w:pPr>
        <w:ind w:firstLine="709"/>
        <w:jc w:val="both"/>
        <w:rPr>
          <w:sz w:val="24"/>
          <w:szCs w:val="24"/>
          <w:lang w:val="lt-LT"/>
        </w:rPr>
      </w:pPr>
      <w:r w:rsidRPr="00F328FE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C6175" w:rsidRPr="00794F5A" w:rsidRDefault="004C6175" w:rsidP="004C6175">
      <w:pPr>
        <w:rPr>
          <w:sz w:val="24"/>
          <w:szCs w:val="24"/>
          <w:lang w:val="lt-LT"/>
        </w:rPr>
      </w:pPr>
    </w:p>
    <w:p w:rsidR="004C6175" w:rsidRDefault="004C6175" w:rsidP="004C6175">
      <w:pPr>
        <w:rPr>
          <w:sz w:val="24"/>
          <w:szCs w:val="24"/>
          <w:lang w:val="lt-LT"/>
        </w:rPr>
      </w:pPr>
    </w:p>
    <w:p w:rsidR="00C40BCC" w:rsidRDefault="00C40BCC" w:rsidP="004C6175">
      <w:pPr>
        <w:rPr>
          <w:sz w:val="24"/>
          <w:szCs w:val="24"/>
          <w:lang w:val="lt-LT"/>
        </w:rPr>
      </w:pPr>
    </w:p>
    <w:p w:rsidR="00C40BCC" w:rsidRDefault="00C40BCC" w:rsidP="004C6175">
      <w:pPr>
        <w:rPr>
          <w:sz w:val="24"/>
          <w:szCs w:val="24"/>
          <w:lang w:val="lt-LT"/>
        </w:rPr>
      </w:pPr>
    </w:p>
    <w:p w:rsidR="00C40BCC" w:rsidRPr="00794F5A" w:rsidRDefault="00C40BCC" w:rsidP="004C6175">
      <w:pPr>
        <w:rPr>
          <w:sz w:val="24"/>
          <w:szCs w:val="24"/>
          <w:lang w:val="lt-LT"/>
        </w:rPr>
      </w:pPr>
    </w:p>
    <w:p w:rsidR="004C6175" w:rsidRPr="00794F5A" w:rsidRDefault="004C6175" w:rsidP="004C6175">
      <w:pPr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 xml:space="preserve">Savivaldybės meras </w:t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  <w:t xml:space="preserve">                            Antanas Vagonis</w:t>
      </w:r>
    </w:p>
    <w:p w:rsidR="004C6175" w:rsidRPr="00794F5A" w:rsidRDefault="004C6175" w:rsidP="004C6175">
      <w:pPr>
        <w:jc w:val="both"/>
        <w:rPr>
          <w:sz w:val="24"/>
          <w:szCs w:val="24"/>
          <w:lang w:val="lt-LT"/>
        </w:rPr>
      </w:pPr>
    </w:p>
    <w:p w:rsidR="00F328FE" w:rsidRDefault="00F328FE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94670A" w:rsidRDefault="0094670A" w:rsidP="004C6175">
      <w:pPr>
        <w:jc w:val="both"/>
        <w:rPr>
          <w:sz w:val="24"/>
          <w:szCs w:val="24"/>
          <w:lang w:val="lt-LT"/>
        </w:rPr>
      </w:pPr>
    </w:p>
    <w:p w:rsidR="0094670A" w:rsidRDefault="0094670A" w:rsidP="004C617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4C6175">
      <w:pPr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Violeta Bieliūnaitė</w:t>
      </w:r>
      <w:r w:rsidR="00794F5A" w:rsidRPr="00794F5A">
        <w:rPr>
          <w:sz w:val="24"/>
          <w:szCs w:val="24"/>
          <w:lang w:val="lt-LT"/>
        </w:rPr>
        <w:t>-</w:t>
      </w:r>
      <w:r w:rsidRPr="00794F5A">
        <w:rPr>
          <w:sz w:val="24"/>
          <w:szCs w:val="24"/>
          <w:lang w:val="lt-LT"/>
        </w:rPr>
        <w:t>Vanagienė</w:t>
      </w:r>
    </w:p>
    <w:p w:rsidR="008155A4" w:rsidRPr="00C40BCC" w:rsidRDefault="004C6175" w:rsidP="00C40BCC">
      <w:pPr>
        <w:pStyle w:val="Betarp"/>
        <w:ind w:left="43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794F5A">
        <w:rPr>
          <w:rFonts w:ascii="Times New Roman" w:hAnsi="Times New Roman"/>
          <w:sz w:val="24"/>
          <w:szCs w:val="24"/>
          <w:lang w:eastAsia="lt-LT"/>
        </w:rPr>
        <w:lastRenderedPageBreak/>
        <w:t xml:space="preserve">   </w:t>
      </w:r>
    </w:p>
    <w:p w:rsidR="007E2E9B" w:rsidRPr="0094670A" w:rsidRDefault="007E2E9B" w:rsidP="006C35AA">
      <w:pPr>
        <w:jc w:val="both"/>
        <w:rPr>
          <w:bCs/>
          <w:sz w:val="24"/>
          <w:szCs w:val="24"/>
          <w:lang w:val="lt-LT"/>
        </w:rPr>
      </w:pPr>
      <w:r w:rsidRPr="0094670A">
        <w:rPr>
          <w:bCs/>
          <w:sz w:val="24"/>
          <w:szCs w:val="24"/>
          <w:lang w:val="lt-LT"/>
        </w:rPr>
        <w:t>Rokiškio rajono savivaldybės tarybai</w:t>
      </w:r>
    </w:p>
    <w:p w:rsidR="007E2E9B" w:rsidRPr="00446014" w:rsidRDefault="007E2E9B" w:rsidP="007E2E9B">
      <w:pPr>
        <w:rPr>
          <w:b/>
          <w:bCs/>
          <w:sz w:val="24"/>
          <w:szCs w:val="24"/>
          <w:lang w:val="lt-LT"/>
        </w:rPr>
      </w:pPr>
    </w:p>
    <w:p w:rsidR="007E2E9B" w:rsidRPr="007E2E9B" w:rsidRDefault="007E2E9B" w:rsidP="007E2E9B">
      <w:pPr>
        <w:jc w:val="center"/>
        <w:rPr>
          <w:b/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SPRENDIMO PROJEKTO</w:t>
      </w:r>
      <w:r w:rsidRPr="00446014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„</w:t>
      </w:r>
      <w:r w:rsidRPr="00794F5A">
        <w:rPr>
          <w:b/>
          <w:sz w:val="24"/>
          <w:szCs w:val="24"/>
          <w:lang w:val="lt-LT"/>
        </w:rPr>
        <w:t xml:space="preserve">DĖL </w:t>
      </w:r>
      <w:r w:rsidRPr="004E32BE">
        <w:rPr>
          <w:b/>
          <w:sz w:val="24"/>
          <w:szCs w:val="24"/>
          <w:lang w:val="lt-LT"/>
        </w:rPr>
        <w:t xml:space="preserve">ROKIŠKIO RAJONO SAVIVALDYBĖS TARYBOS </w:t>
      </w:r>
      <w:r w:rsidR="00D21AC7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2018 M. SAUSIO 23 D. SPRENDIMO NR. TS-17 „DĖL </w:t>
      </w:r>
      <w:r w:rsidRPr="00794F5A">
        <w:rPr>
          <w:b/>
          <w:sz w:val="24"/>
          <w:szCs w:val="24"/>
          <w:lang w:val="lt-LT"/>
        </w:rPr>
        <w:t>ROKIŠKIO RAJONO SAVIVALDYBĖS BŪSTO FONDO IR SOCIALINIO BŪSTO FONDO SĄRAŠŲ PATVIRTINIMO</w:t>
      </w:r>
      <w:r>
        <w:rPr>
          <w:b/>
          <w:sz w:val="24"/>
          <w:szCs w:val="24"/>
          <w:lang w:val="lt-LT"/>
        </w:rPr>
        <w:t>“ DALINIO PAKEITIMO“</w:t>
      </w:r>
      <w:r w:rsidRPr="00446014">
        <w:rPr>
          <w:b/>
          <w:sz w:val="24"/>
          <w:szCs w:val="24"/>
          <w:lang w:val="lt-LT"/>
        </w:rPr>
        <w:t xml:space="preserve"> </w:t>
      </w:r>
      <w:r w:rsidRPr="00446014">
        <w:rPr>
          <w:b/>
          <w:bCs/>
          <w:sz w:val="24"/>
          <w:szCs w:val="24"/>
          <w:lang w:val="lt-LT"/>
        </w:rPr>
        <w:t>AIŠKINAMASIS RAŠTAS</w:t>
      </w:r>
    </w:p>
    <w:p w:rsidR="007E2E9B" w:rsidRPr="00446014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7E2E9B" w:rsidRPr="008155A4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8155A4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B368D7" w:rsidRPr="008155A4" w:rsidRDefault="007E2E9B" w:rsidP="007E2E9B">
      <w:pPr>
        <w:ind w:firstLine="720"/>
        <w:jc w:val="both"/>
        <w:rPr>
          <w:sz w:val="24"/>
          <w:szCs w:val="24"/>
          <w:lang w:val="lt-LT"/>
        </w:rPr>
      </w:pPr>
      <w:r w:rsidRPr="008155A4">
        <w:rPr>
          <w:sz w:val="24"/>
          <w:szCs w:val="24"/>
          <w:lang w:val="lt-LT"/>
        </w:rPr>
        <w:t>Atsižvelgiant į tai, kad pastatas</w:t>
      </w:r>
      <w:r w:rsidR="00431F6E" w:rsidRPr="008155A4">
        <w:rPr>
          <w:sz w:val="24"/>
          <w:szCs w:val="24"/>
          <w:lang w:val="lt-LT"/>
        </w:rPr>
        <w:t>,</w:t>
      </w:r>
      <w:r w:rsidRPr="008155A4">
        <w:rPr>
          <w:sz w:val="24"/>
          <w:szCs w:val="24"/>
          <w:lang w:val="lt-LT"/>
        </w:rPr>
        <w:t xml:space="preserve"> esantis Beržų g. 1, Jūžint</w:t>
      </w:r>
      <w:r w:rsidR="00431F6E" w:rsidRPr="008155A4">
        <w:rPr>
          <w:sz w:val="24"/>
          <w:szCs w:val="24"/>
          <w:lang w:val="lt-LT"/>
        </w:rPr>
        <w:t>uose</w:t>
      </w:r>
      <w:r w:rsidRPr="008155A4">
        <w:rPr>
          <w:sz w:val="24"/>
          <w:szCs w:val="24"/>
          <w:lang w:val="lt-LT"/>
        </w:rPr>
        <w:t xml:space="preserve"> (unikalus numeris 7396-3010-3038) nėra išskirstytas butais ar kitomis patalpomis ir įregistruotas kaip vienas </w:t>
      </w:r>
      <w:r w:rsidR="0051135D" w:rsidRPr="008155A4">
        <w:rPr>
          <w:sz w:val="24"/>
          <w:szCs w:val="24"/>
          <w:lang w:val="lt-LT"/>
        </w:rPr>
        <w:t>turto vienetas</w:t>
      </w:r>
      <w:r w:rsidR="00D21AC7" w:rsidRPr="008155A4">
        <w:rPr>
          <w:sz w:val="24"/>
          <w:szCs w:val="24"/>
          <w:lang w:val="lt-LT"/>
        </w:rPr>
        <w:t>,</w:t>
      </w:r>
      <w:r w:rsidRPr="008155A4">
        <w:rPr>
          <w:sz w:val="24"/>
          <w:szCs w:val="24"/>
          <w:lang w:val="lt-LT"/>
        </w:rPr>
        <w:t xml:space="preserve"> būtina tikslinti savivaldybės būsto plotą.</w:t>
      </w:r>
    </w:p>
    <w:p w:rsidR="007E2E9B" w:rsidRPr="008155A4" w:rsidRDefault="006C35AA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8155A4">
        <w:rPr>
          <w:sz w:val="24"/>
          <w:szCs w:val="24"/>
          <w:lang w:val="lt-LT"/>
        </w:rPr>
        <w:t xml:space="preserve"> Įgyvendinant projektą buvo nupirkti 3 socialiniai būstai Rokiškio mieste, kurie bus įtraukti į  Rokiškio rajono savivaldybės būsto fondo ir Rokiškio rajono savivaldybės socialinio būsto, kaip Rokiškio rajono savivaldybės būsto fondo dalies sąrašus.</w:t>
      </w:r>
    </w:p>
    <w:p w:rsidR="007E2E9B" w:rsidRPr="008155A4" w:rsidRDefault="007E2E9B" w:rsidP="007E2E9B">
      <w:pPr>
        <w:ind w:left="720"/>
        <w:jc w:val="both"/>
        <w:rPr>
          <w:sz w:val="24"/>
          <w:szCs w:val="24"/>
          <w:lang w:val="lt-LT"/>
        </w:rPr>
      </w:pPr>
      <w:r w:rsidRPr="008155A4">
        <w:rPr>
          <w:b/>
          <w:bCs/>
          <w:sz w:val="24"/>
          <w:szCs w:val="24"/>
          <w:lang w:val="lt-LT"/>
        </w:rPr>
        <w:t>Šiuo metu esantis teisinis reglamentavimas.</w:t>
      </w:r>
      <w:r w:rsidRPr="008155A4">
        <w:rPr>
          <w:sz w:val="24"/>
          <w:szCs w:val="24"/>
          <w:lang w:val="lt-LT"/>
        </w:rPr>
        <w:t xml:space="preserve"> </w:t>
      </w:r>
    </w:p>
    <w:p w:rsidR="007E2E9B" w:rsidRPr="008155A4" w:rsidRDefault="007E2E9B" w:rsidP="007E2E9B">
      <w:pPr>
        <w:ind w:firstLine="709"/>
        <w:jc w:val="both"/>
        <w:rPr>
          <w:sz w:val="24"/>
          <w:szCs w:val="24"/>
          <w:lang w:val="lt-LT"/>
        </w:rPr>
      </w:pPr>
      <w:r w:rsidRPr="008155A4">
        <w:rPr>
          <w:sz w:val="24"/>
          <w:szCs w:val="24"/>
          <w:lang w:val="lt-LT"/>
        </w:rPr>
        <w:t>Lietuvos Respublikos paramos būstui įsigyti ar išsinuomoti įstatymas.</w:t>
      </w:r>
    </w:p>
    <w:p w:rsidR="007E2E9B" w:rsidRPr="008155A4" w:rsidRDefault="007E2E9B" w:rsidP="007E2E9B">
      <w:pPr>
        <w:pStyle w:val="Default"/>
      </w:pPr>
      <w:r w:rsidRPr="008155A4">
        <w:rPr>
          <w:b/>
          <w:bCs/>
        </w:rPr>
        <w:tab/>
        <w:t>Sprendimo projekto esmė.</w:t>
      </w:r>
      <w:r w:rsidRPr="008155A4">
        <w:t xml:space="preserve"> </w:t>
      </w:r>
    </w:p>
    <w:p w:rsidR="00DE091F" w:rsidRPr="00D21AC7" w:rsidRDefault="00DE091F" w:rsidP="00B368D7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8155A4">
        <w:rPr>
          <w:rFonts w:ascii="Times New Roman" w:hAnsi="Times New Roman"/>
          <w:sz w:val="24"/>
          <w:szCs w:val="24"/>
        </w:rPr>
        <w:t xml:space="preserve">Įsigaliojus Lietuvos Respublikos paramos būstui įsigyti ar </w:t>
      </w:r>
      <w:r w:rsidR="007E2E9B" w:rsidRPr="008155A4">
        <w:rPr>
          <w:rFonts w:ascii="Times New Roman" w:hAnsi="Times New Roman"/>
          <w:sz w:val="24"/>
          <w:szCs w:val="24"/>
        </w:rPr>
        <w:tab/>
      </w:r>
      <w:r w:rsidR="005949DC" w:rsidRPr="008155A4">
        <w:rPr>
          <w:rFonts w:ascii="Times New Roman" w:hAnsi="Times New Roman"/>
          <w:sz w:val="24"/>
          <w:szCs w:val="24"/>
        </w:rPr>
        <w:t>išsinuomoti</w:t>
      </w:r>
      <w:r w:rsidR="00431F6E" w:rsidRPr="008155A4">
        <w:rPr>
          <w:rFonts w:ascii="Times New Roman" w:hAnsi="Times New Roman"/>
          <w:sz w:val="24"/>
          <w:szCs w:val="24"/>
        </w:rPr>
        <w:t xml:space="preserve"> </w:t>
      </w:r>
      <w:r w:rsidR="00D21AC7" w:rsidRPr="008155A4">
        <w:rPr>
          <w:rFonts w:ascii="Times New Roman" w:hAnsi="Times New Roman"/>
          <w:sz w:val="24"/>
          <w:szCs w:val="24"/>
        </w:rPr>
        <w:t>į</w:t>
      </w:r>
      <w:r w:rsidR="005949DC" w:rsidRPr="008155A4">
        <w:rPr>
          <w:rFonts w:ascii="Times New Roman" w:hAnsi="Times New Roman"/>
          <w:sz w:val="24"/>
          <w:szCs w:val="24"/>
        </w:rPr>
        <w:t>statymui</w:t>
      </w:r>
      <w:r w:rsidR="00D21AC7" w:rsidRPr="008155A4">
        <w:rPr>
          <w:rFonts w:ascii="Times New Roman" w:hAnsi="Times New Roman"/>
          <w:sz w:val="24"/>
          <w:szCs w:val="24"/>
        </w:rPr>
        <w:t xml:space="preserve"> </w:t>
      </w:r>
      <w:r w:rsidR="005949DC" w:rsidRPr="008155A4">
        <w:rPr>
          <w:rFonts w:ascii="Times New Roman" w:hAnsi="Times New Roman"/>
          <w:sz w:val="24"/>
          <w:szCs w:val="24"/>
        </w:rPr>
        <w:t xml:space="preserve">savivaldybės tarybos 2015 m. kovo 27 d. </w:t>
      </w:r>
      <w:r w:rsidR="00D21AC7" w:rsidRPr="008155A4">
        <w:rPr>
          <w:rFonts w:ascii="Times New Roman" w:hAnsi="Times New Roman"/>
          <w:sz w:val="24"/>
          <w:szCs w:val="24"/>
        </w:rPr>
        <w:t xml:space="preserve">sprendimu Nr. </w:t>
      </w:r>
      <w:r w:rsidR="00F328FE" w:rsidRPr="008155A4">
        <w:rPr>
          <w:rFonts w:ascii="Times New Roman" w:hAnsi="Times New Roman"/>
          <w:sz w:val="24"/>
          <w:szCs w:val="24"/>
        </w:rPr>
        <w:t xml:space="preserve">TS-79 </w:t>
      </w:r>
      <w:r w:rsidR="005949DC" w:rsidRPr="008155A4">
        <w:rPr>
          <w:rFonts w:ascii="Times New Roman" w:hAnsi="Times New Roman"/>
          <w:sz w:val="24"/>
          <w:szCs w:val="24"/>
        </w:rPr>
        <w:t>buvo patvirtinti Rokiškio rajono savivaldybės būsto ir socialinio būsto sąrašai. Sąrašuose būstų plotai buvo nurodyti</w:t>
      </w:r>
      <w:r w:rsidR="00431F6E" w:rsidRPr="008155A4">
        <w:rPr>
          <w:rFonts w:ascii="Times New Roman" w:hAnsi="Times New Roman"/>
          <w:sz w:val="24"/>
          <w:szCs w:val="24"/>
        </w:rPr>
        <w:t>,</w:t>
      </w:r>
      <w:r w:rsidR="005949DC" w:rsidRPr="008155A4">
        <w:rPr>
          <w:rFonts w:ascii="Times New Roman" w:hAnsi="Times New Roman"/>
          <w:sz w:val="24"/>
          <w:szCs w:val="24"/>
        </w:rPr>
        <w:t xml:space="preserve"> atsižvelgiant į seniūnijų ir švietimo įstaigų, kurių apskaitoje yra savivaldybės ir socialiniai būstai, pateiktus duomenis.</w:t>
      </w:r>
      <w:r w:rsidR="00B368D7" w:rsidRPr="008155A4">
        <w:rPr>
          <w:rFonts w:ascii="Times New Roman" w:hAnsi="Times New Roman"/>
          <w:sz w:val="24"/>
          <w:szCs w:val="24"/>
        </w:rPr>
        <w:t xml:space="preserve"> </w:t>
      </w:r>
      <w:r w:rsidR="00A31987" w:rsidRPr="008155A4">
        <w:rPr>
          <w:rFonts w:ascii="Times New Roman" w:hAnsi="Times New Roman"/>
          <w:sz w:val="24"/>
          <w:szCs w:val="24"/>
        </w:rPr>
        <w:t>Rengiant</w:t>
      </w:r>
      <w:r w:rsidR="005949DC" w:rsidRPr="008155A4">
        <w:rPr>
          <w:rFonts w:ascii="Times New Roman" w:hAnsi="Times New Roman"/>
          <w:sz w:val="24"/>
          <w:szCs w:val="24"/>
        </w:rPr>
        <w:t xml:space="preserve"> savivaldybės tarybos sprendim</w:t>
      </w:r>
      <w:r w:rsidR="00A31987" w:rsidRPr="008155A4">
        <w:rPr>
          <w:rFonts w:ascii="Times New Roman" w:hAnsi="Times New Roman"/>
          <w:sz w:val="24"/>
          <w:szCs w:val="24"/>
        </w:rPr>
        <w:t>o</w:t>
      </w:r>
      <w:r w:rsidR="005949DC" w:rsidRPr="008155A4">
        <w:rPr>
          <w:rFonts w:ascii="Times New Roman" w:hAnsi="Times New Roman"/>
          <w:sz w:val="24"/>
          <w:szCs w:val="24"/>
        </w:rPr>
        <w:t xml:space="preserve"> dėl Rokiškio rajono savivaldybės b</w:t>
      </w:r>
      <w:r w:rsidR="00A31987" w:rsidRPr="008155A4">
        <w:rPr>
          <w:rFonts w:ascii="Times New Roman" w:hAnsi="Times New Roman"/>
          <w:sz w:val="24"/>
          <w:szCs w:val="24"/>
        </w:rPr>
        <w:t>ūsto ir socialinio būsto sąrašų patvirtinimo pataisas būstų plotai nebuvo peržiūrimi</w:t>
      </w:r>
      <w:r w:rsidR="00B368D7" w:rsidRPr="008155A4">
        <w:rPr>
          <w:rFonts w:ascii="Times New Roman" w:hAnsi="Times New Roman"/>
          <w:sz w:val="24"/>
          <w:szCs w:val="24"/>
        </w:rPr>
        <w:t>, todėl 2017 m. lapkričio 30 d. Rokiškio rajono savivaldybės tarybos sprendimu TS-199 „Dėl Rokiškio rajono savivaldybės būsto fondo ir socialinio būsto fondo sąrašų patvirtinimo“</w:t>
      </w:r>
      <w:r w:rsidR="00B368D7" w:rsidRPr="008155A4">
        <w:rPr>
          <w:b/>
          <w:sz w:val="24"/>
          <w:szCs w:val="24"/>
        </w:rPr>
        <w:t xml:space="preserve"> </w:t>
      </w:r>
      <w:r w:rsidR="00B368D7" w:rsidRPr="008155A4">
        <w:rPr>
          <w:rFonts w:ascii="Times New Roman" w:hAnsi="Times New Roman"/>
          <w:sz w:val="24"/>
          <w:szCs w:val="24"/>
        </w:rPr>
        <w:t>buvo patvirtintas savivaldybės būsto</w:t>
      </w:r>
      <w:r w:rsidR="00B368D7">
        <w:rPr>
          <w:rFonts w:ascii="Times New Roman" w:hAnsi="Times New Roman"/>
          <w:sz w:val="24"/>
          <w:szCs w:val="24"/>
        </w:rPr>
        <w:t xml:space="preserve"> fondo sąrašas, kuriame nebuvo ištaisyta klaida</w:t>
      </w:r>
      <w:r w:rsidR="00A31987" w:rsidRPr="00D21AC7">
        <w:rPr>
          <w:rFonts w:ascii="Times New Roman" w:hAnsi="Times New Roman"/>
          <w:sz w:val="24"/>
          <w:szCs w:val="24"/>
        </w:rPr>
        <w:t>.</w:t>
      </w:r>
      <w:r w:rsidR="006C35AA">
        <w:rPr>
          <w:rFonts w:ascii="Times New Roman" w:hAnsi="Times New Roman"/>
          <w:sz w:val="24"/>
          <w:szCs w:val="24"/>
        </w:rPr>
        <w:t xml:space="preserve"> </w:t>
      </w:r>
    </w:p>
    <w:p w:rsidR="005949DC" w:rsidRDefault="005949DC" w:rsidP="00B368D7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Savivaldybės būstas, esantis Beržų g. 1, Jūžintuose (unikalus numeris 7396-3010-3038) Nekilnojamojo turto registre įre</w:t>
      </w:r>
      <w:r w:rsidR="00D21AC7">
        <w:rPr>
          <w:rFonts w:ascii="Times New Roman" w:hAnsi="Times New Roman"/>
          <w:sz w:val="24"/>
          <w:szCs w:val="24"/>
        </w:rPr>
        <w:t xml:space="preserve">gistruotas kaip vienas pastatas, </w:t>
      </w:r>
      <w:r w:rsidR="00D21AC7" w:rsidRPr="00F328FE">
        <w:rPr>
          <w:rFonts w:ascii="Times New Roman" w:hAnsi="Times New Roman"/>
          <w:sz w:val="24"/>
          <w:szCs w:val="24"/>
        </w:rPr>
        <w:t>t. y.</w:t>
      </w:r>
      <w:r w:rsidRPr="00F328FE">
        <w:rPr>
          <w:rFonts w:ascii="Times New Roman" w:hAnsi="Times New Roman"/>
          <w:sz w:val="24"/>
          <w:szCs w:val="24"/>
        </w:rPr>
        <w:t xml:space="preserve"> </w:t>
      </w:r>
      <w:r w:rsidR="00D21AC7" w:rsidRPr="00F328F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okyklos bendrabutis ir nėra išskirstytas butais ar pastato dalimis. </w:t>
      </w:r>
      <w:r w:rsidR="00A31987">
        <w:rPr>
          <w:rFonts w:ascii="Times New Roman" w:hAnsi="Times New Roman"/>
          <w:sz w:val="24"/>
          <w:szCs w:val="24"/>
        </w:rPr>
        <w:t>Atsižvelgiant į tai</w:t>
      </w:r>
      <w:r w:rsidR="00D21AC7" w:rsidRPr="00F328FE">
        <w:rPr>
          <w:rFonts w:ascii="Times New Roman" w:hAnsi="Times New Roman"/>
          <w:sz w:val="24"/>
          <w:szCs w:val="24"/>
        </w:rPr>
        <w:t>,</w:t>
      </w:r>
      <w:r w:rsidR="0051135D">
        <w:rPr>
          <w:rFonts w:ascii="Times New Roman" w:hAnsi="Times New Roman"/>
          <w:sz w:val="24"/>
          <w:szCs w:val="24"/>
        </w:rPr>
        <w:t xml:space="preserve"> kad atskiri objektai pastate nėra įregistruoti,</w:t>
      </w:r>
      <w:r w:rsidR="00A31987">
        <w:rPr>
          <w:rFonts w:ascii="Times New Roman" w:hAnsi="Times New Roman"/>
          <w:sz w:val="24"/>
          <w:szCs w:val="24"/>
        </w:rPr>
        <w:t xml:space="preserve"> negali būti nurodoma, kad savivaldybės būsto plotas yra 60,73 </w:t>
      </w:r>
      <w:r w:rsidR="00431F6E">
        <w:rPr>
          <w:rFonts w:ascii="Times New Roman" w:hAnsi="Times New Roman"/>
          <w:sz w:val="24"/>
          <w:szCs w:val="24"/>
        </w:rPr>
        <w:t>kv. m</w:t>
      </w:r>
      <w:r w:rsidR="00D21AC7" w:rsidRPr="00F328FE">
        <w:rPr>
          <w:rFonts w:ascii="Times New Roman" w:hAnsi="Times New Roman"/>
          <w:sz w:val="24"/>
          <w:szCs w:val="24"/>
        </w:rPr>
        <w:t>,</w:t>
      </w:r>
      <w:r w:rsidR="00A31987">
        <w:rPr>
          <w:rFonts w:ascii="Times New Roman" w:hAnsi="Times New Roman"/>
          <w:sz w:val="24"/>
          <w:szCs w:val="24"/>
        </w:rPr>
        <w:t xml:space="preserve"> nes tokio turto vieneto </w:t>
      </w:r>
      <w:r w:rsidR="0051135D">
        <w:rPr>
          <w:rFonts w:ascii="Times New Roman" w:hAnsi="Times New Roman"/>
          <w:sz w:val="24"/>
          <w:szCs w:val="24"/>
        </w:rPr>
        <w:t>Beržų g. 1, Jūžint</w:t>
      </w:r>
      <w:r w:rsidR="00431F6E">
        <w:rPr>
          <w:rFonts w:ascii="Times New Roman" w:hAnsi="Times New Roman"/>
          <w:sz w:val="24"/>
          <w:szCs w:val="24"/>
        </w:rPr>
        <w:t>ų mstl.</w:t>
      </w:r>
      <w:r w:rsidR="0051135D">
        <w:rPr>
          <w:rFonts w:ascii="Times New Roman" w:hAnsi="Times New Roman"/>
          <w:sz w:val="24"/>
          <w:szCs w:val="24"/>
        </w:rPr>
        <w:t xml:space="preserve">, Jūžintų sen. </w:t>
      </w:r>
      <w:r w:rsidR="00A31987">
        <w:rPr>
          <w:rFonts w:ascii="Times New Roman" w:hAnsi="Times New Roman"/>
          <w:sz w:val="24"/>
          <w:szCs w:val="24"/>
        </w:rPr>
        <w:t>nėra.</w:t>
      </w:r>
      <w:r w:rsidR="006C35AA">
        <w:rPr>
          <w:rFonts w:ascii="Times New Roman" w:hAnsi="Times New Roman"/>
          <w:sz w:val="24"/>
          <w:szCs w:val="24"/>
        </w:rPr>
        <w:t xml:space="preserve"> </w:t>
      </w:r>
      <w:r w:rsidR="006C35AA" w:rsidRPr="006C35AA">
        <w:rPr>
          <w:rFonts w:ascii="Times New Roman" w:hAnsi="Times New Roman"/>
          <w:sz w:val="24"/>
          <w:szCs w:val="24"/>
        </w:rPr>
        <w:t xml:space="preserve">Atsižvelgiant į tai, kad </w:t>
      </w:r>
      <w:r w:rsidR="006C35AA">
        <w:rPr>
          <w:rFonts w:ascii="Times New Roman" w:hAnsi="Times New Roman"/>
          <w:sz w:val="24"/>
          <w:szCs w:val="24"/>
        </w:rPr>
        <w:t xml:space="preserve">suprojektuoti ir </w:t>
      </w:r>
      <w:r w:rsidR="006C35AA" w:rsidRPr="006C35AA">
        <w:rPr>
          <w:rFonts w:ascii="Times New Roman" w:hAnsi="Times New Roman"/>
          <w:sz w:val="24"/>
          <w:szCs w:val="24"/>
        </w:rPr>
        <w:t xml:space="preserve">įrengti daugiau </w:t>
      </w:r>
      <w:r w:rsidR="006C35AA">
        <w:rPr>
          <w:rFonts w:ascii="Times New Roman" w:hAnsi="Times New Roman"/>
          <w:sz w:val="24"/>
          <w:szCs w:val="24"/>
        </w:rPr>
        <w:t xml:space="preserve">savivaldybės ir socialinių </w:t>
      </w:r>
      <w:r w:rsidR="006C35AA" w:rsidRPr="006C35AA">
        <w:rPr>
          <w:rFonts w:ascii="Times New Roman" w:hAnsi="Times New Roman"/>
          <w:sz w:val="24"/>
          <w:szCs w:val="24"/>
        </w:rPr>
        <w:t xml:space="preserve">būstų ekonomiškai nenaudinga, tikslinamas Rokiškio rajono savivaldybės būsto, esančio Beržų g. 1, Jūžintai, Jūžintų sen. plotas iš 60,73 </w:t>
      </w:r>
      <w:r w:rsidR="008155A4">
        <w:rPr>
          <w:rFonts w:ascii="Times New Roman" w:hAnsi="Times New Roman"/>
          <w:sz w:val="24"/>
          <w:szCs w:val="24"/>
        </w:rPr>
        <w:t>kv. m</w:t>
      </w:r>
      <w:r w:rsidR="006C35AA" w:rsidRPr="006C35A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C35AA" w:rsidRPr="006C35AA">
        <w:rPr>
          <w:rFonts w:ascii="Times New Roman" w:hAnsi="Times New Roman"/>
          <w:sz w:val="24"/>
          <w:szCs w:val="24"/>
        </w:rPr>
        <w:t xml:space="preserve">į 218,73 </w:t>
      </w:r>
      <w:r w:rsidR="008155A4">
        <w:rPr>
          <w:rFonts w:ascii="Times New Roman" w:hAnsi="Times New Roman"/>
          <w:sz w:val="24"/>
          <w:szCs w:val="24"/>
        </w:rPr>
        <w:t>kv. m.</w:t>
      </w:r>
    </w:p>
    <w:p w:rsidR="00F328FE" w:rsidRPr="00A31987" w:rsidRDefault="00F328FE" w:rsidP="00B368D7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8851D0">
        <w:rPr>
          <w:rFonts w:ascii="Times New Roman" w:hAnsi="Times New Roman"/>
          <w:sz w:val="24"/>
          <w:szCs w:val="24"/>
        </w:rPr>
        <w:t xml:space="preserve">Pagal vykdomą ES lėšomis finansuojamą projektą „Socialinio būsto fondo plėtra Rokiškio rajono savivaldybėje“ </w:t>
      </w:r>
      <w:r>
        <w:rPr>
          <w:rFonts w:ascii="Times New Roman" w:hAnsi="Times New Roman"/>
          <w:sz w:val="24"/>
          <w:szCs w:val="24"/>
        </w:rPr>
        <w:t xml:space="preserve">Rokiškio mieste </w:t>
      </w:r>
      <w:r w:rsidRPr="008851D0">
        <w:rPr>
          <w:rFonts w:ascii="Times New Roman" w:hAnsi="Times New Roman"/>
          <w:sz w:val="24"/>
          <w:szCs w:val="24"/>
        </w:rPr>
        <w:t>nupirkti 3 socialiniai būstai</w:t>
      </w:r>
      <w:r w:rsidR="00431F6E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 xml:space="preserve">urie šiuo sprendimu bus įrašyti į </w:t>
      </w:r>
      <w:r w:rsidRPr="001F62D9">
        <w:rPr>
          <w:rFonts w:ascii="Times New Roman" w:hAnsi="Times New Roman"/>
          <w:sz w:val="24"/>
          <w:szCs w:val="24"/>
        </w:rPr>
        <w:t>Rokiškio rajono savivaldybės būsto fondo ir Rokiškio rajono savivaldybės socialinio būsto, kaip Rokiškio rajono savivaldybės būsto fondo dalies sąrašus.</w:t>
      </w:r>
    </w:p>
    <w:p w:rsidR="007E2E9B" w:rsidRPr="00446014" w:rsidRDefault="00D21AC7" w:rsidP="007E2E9B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E2E9B" w:rsidRPr="00446014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7E2E9B" w:rsidRPr="00446014" w:rsidRDefault="007E2E9B" w:rsidP="007E2E9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teigiamos</w:t>
      </w:r>
      <w:r w:rsidRPr="00446014">
        <w:rPr>
          <w:sz w:val="24"/>
          <w:szCs w:val="24"/>
          <w:lang w:val="lt-LT"/>
        </w:rPr>
        <w:t xml:space="preserve"> – bus vykdomos teis</w:t>
      </w:r>
      <w:r w:rsidR="00A31987">
        <w:rPr>
          <w:sz w:val="24"/>
          <w:szCs w:val="24"/>
          <w:lang w:val="lt-LT"/>
        </w:rPr>
        <w:t xml:space="preserve">ės aktuose nustatytos nuostatos, </w:t>
      </w:r>
      <w:r w:rsidR="006C35AA">
        <w:rPr>
          <w:sz w:val="24"/>
          <w:szCs w:val="24"/>
          <w:lang w:val="lt-LT"/>
        </w:rPr>
        <w:t xml:space="preserve">nupirkti socialiniai būstai bus išnuomoti teisę į paramą būstui išsinuomoti turintiems asmenims, </w:t>
      </w:r>
      <w:r w:rsidR="00A31987">
        <w:rPr>
          <w:sz w:val="24"/>
          <w:szCs w:val="24"/>
          <w:lang w:val="lt-LT"/>
        </w:rPr>
        <w:t>bus gaunama daugiau pajamų už savivaldybės</w:t>
      </w:r>
      <w:r w:rsidR="006C35AA">
        <w:rPr>
          <w:sz w:val="24"/>
          <w:szCs w:val="24"/>
          <w:lang w:val="lt-LT"/>
        </w:rPr>
        <w:t xml:space="preserve"> ir socialinių</w:t>
      </w:r>
      <w:r w:rsidR="00A31987">
        <w:rPr>
          <w:sz w:val="24"/>
          <w:szCs w:val="24"/>
          <w:lang w:val="lt-LT"/>
        </w:rPr>
        <w:t xml:space="preserve"> būstų nuomą</w:t>
      </w:r>
      <w:r w:rsidR="00431F6E">
        <w:rPr>
          <w:sz w:val="24"/>
          <w:szCs w:val="24"/>
          <w:lang w:val="lt-LT"/>
        </w:rPr>
        <w:t>;</w:t>
      </w:r>
    </w:p>
    <w:p w:rsidR="007E2E9B" w:rsidRDefault="007E2E9B" w:rsidP="007E2E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neigiamos</w:t>
      </w:r>
      <w:r w:rsidRPr="00446014">
        <w:rPr>
          <w:sz w:val="24"/>
          <w:szCs w:val="24"/>
          <w:lang w:val="lt-LT"/>
        </w:rPr>
        <w:t xml:space="preserve"> – </w:t>
      </w:r>
      <w:r w:rsidR="0051135D">
        <w:rPr>
          <w:sz w:val="24"/>
          <w:szCs w:val="24"/>
          <w:lang w:val="lt-LT"/>
        </w:rPr>
        <w:t>savivaldyb</w:t>
      </w:r>
      <w:r w:rsidR="00F328FE">
        <w:rPr>
          <w:sz w:val="24"/>
          <w:szCs w:val="24"/>
          <w:lang w:val="lt-LT"/>
        </w:rPr>
        <w:t>ės būsto nuomininkai gali reikš</w:t>
      </w:r>
      <w:r w:rsidR="0051135D">
        <w:rPr>
          <w:sz w:val="24"/>
          <w:szCs w:val="24"/>
          <w:lang w:val="lt-LT"/>
        </w:rPr>
        <w:t>ti nepasitenkinimą dėl padidėjusio nuomos mokesčio</w:t>
      </w:r>
      <w:r w:rsidRPr="00446014">
        <w:rPr>
          <w:sz w:val="24"/>
          <w:szCs w:val="24"/>
          <w:lang w:val="lt-LT"/>
        </w:rPr>
        <w:t xml:space="preserve">. </w:t>
      </w:r>
    </w:p>
    <w:p w:rsidR="007E2E9B" w:rsidRDefault="007E2E9B" w:rsidP="007E2E9B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Kokia sprendimo nauda Rokiškio rajono gyventojams.</w:t>
      </w:r>
    </w:p>
    <w:p w:rsidR="00F328FE" w:rsidRPr="00794F5A" w:rsidRDefault="007E2E9B" w:rsidP="00F328FE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F328FE" w:rsidRPr="00794F5A">
        <w:rPr>
          <w:sz w:val="24"/>
          <w:szCs w:val="24"/>
          <w:lang w:val="lt-LT"/>
        </w:rPr>
        <w:t>Savivaldybės tarybos patvirtinti savivaldybės būsto fondo ir savivaldybės socialinio būsto sąrašai skelbiami viešai savivaldybės internetiniame puslapyje, todėl gyventojai turi galimybę susipažinti su šiais sąrašais</w:t>
      </w:r>
      <w:r w:rsidR="00F328FE">
        <w:rPr>
          <w:sz w:val="24"/>
          <w:szCs w:val="24"/>
          <w:lang w:val="lt-LT"/>
        </w:rPr>
        <w:t xml:space="preserve"> ir  išsinuomoti būstus pagal šiuo metu galiojantį teisinį reglamentavimą</w:t>
      </w:r>
      <w:r w:rsidR="00F328FE" w:rsidRPr="00794F5A">
        <w:rPr>
          <w:sz w:val="24"/>
          <w:szCs w:val="24"/>
          <w:lang w:val="lt-LT"/>
        </w:rPr>
        <w:t>.</w:t>
      </w:r>
    </w:p>
    <w:p w:rsidR="007E2E9B" w:rsidRPr="00446014" w:rsidRDefault="00D21AC7" w:rsidP="00A31987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E2E9B" w:rsidRPr="00446014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446014">
        <w:rPr>
          <w:sz w:val="24"/>
          <w:szCs w:val="24"/>
          <w:lang w:val="lt-LT"/>
        </w:rPr>
        <w:t>.</w:t>
      </w:r>
    </w:p>
    <w:p w:rsidR="007E2E9B" w:rsidRPr="00446014" w:rsidRDefault="007E2E9B" w:rsidP="007E2E9B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Sprendimo įgyvendinimui saviv</w:t>
      </w:r>
      <w:r w:rsidR="00A31987">
        <w:rPr>
          <w:sz w:val="24"/>
          <w:szCs w:val="24"/>
          <w:lang w:val="lt-LT"/>
        </w:rPr>
        <w:t>aldybės biudžeto lėšų nereikės.</w:t>
      </w:r>
    </w:p>
    <w:p w:rsidR="007E2E9B" w:rsidRPr="00446014" w:rsidRDefault="007E2E9B" w:rsidP="007E2E9B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>
        <w:rPr>
          <w:b/>
          <w:bCs/>
          <w:color w:val="000000"/>
          <w:sz w:val="24"/>
          <w:szCs w:val="24"/>
          <w:lang w:val="lt-LT"/>
        </w:rPr>
        <w:t>.</w:t>
      </w:r>
    </w:p>
    <w:p w:rsidR="007E2E9B" w:rsidRPr="00446014" w:rsidRDefault="007E2E9B" w:rsidP="007E2E9B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4601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7E2E9B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:rsidR="007E2E9B" w:rsidRPr="00446014" w:rsidRDefault="007E2E9B" w:rsidP="007E2E9B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lastRenderedPageBreak/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7E2E9B" w:rsidRPr="00446014" w:rsidRDefault="007E2E9B" w:rsidP="007E2E9B">
      <w:pPr>
        <w:jc w:val="both"/>
        <w:rPr>
          <w:sz w:val="24"/>
          <w:szCs w:val="24"/>
          <w:lang w:val="lt-LT"/>
        </w:rPr>
      </w:pPr>
    </w:p>
    <w:p w:rsidR="007E2E9B" w:rsidRPr="00446014" w:rsidRDefault="007E2E9B" w:rsidP="007E2E9B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Turto valdymo ir viešųjų pirkimų skyriaus</w:t>
      </w:r>
    </w:p>
    <w:p w:rsidR="001059F4" w:rsidRPr="00794F5A" w:rsidRDefault="007E2E9B" w:rsidP="007E2E9B">
      <w:pPr>
        <w:rPr>
          <w:sz w:val="24"/>
          <w:szCs w:val="24"/>
        </w:rPr>
      </w:pPr>
      <w:r w:rsidRPr="00446014">
        <w:rPr>
          <w:sz w:val="24"/>
          <w:szCs w:val="24"/>
          <w:lang w:val="lt-LT"/>
        </w:rPr>
        <w:t xml:space="preserve"> vyriausioji specialistė</w:t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  <w:t>Violeta Bieliūnaitė-Vanagienė</w:t>
      </w:r>
    </w:p>
    <w:sectPr w:rsidR="001059F4" w:rsidRPr="00794F5A" w:rsidSect="006C35AA">
      <w:headerReference w:type="first" r:id="rId9"/>
      <w:type w:val="continuous"/>
      <w:pgSz w:w="11906" w:h="16838" w:code="9"/>
      <w:pgMar w:top="1134" w:right="567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8B" w:rsidRDefault="00B4228B">
      <w:r>
        <w:separator/>
      </w:r>
    </w:p>
  </w:endnote>
  <w:endnote w:type="continuationSeparator" w:id="0">
    <w:p w:rsidR="00B4228B" w:rsidRDefault="00B4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8B" w:rsidRDefault="00B4228B">
      <w:r>
        <w:separator/>
      </w:r>
    </w:p>
  </w:footnote>
  <w:footnote w:type="continuationSeparator" w:id="0">
    <w:p w:rsidR="00B4228B" w:rsidRDefault="00B4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C40BCC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0245"/>
          <wp:effectExtent l="0" t="0" r="889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35584F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B2C48"/>
    <w:rsid w:val="001E755B"/>
    <w:rsid w:val="002C0ABF"/>
    <w:rsid w:val="002C37E2"/>
    <w:rsid w:val="002C6248"/>
    <w:rsid w:val="00325016"/>
    <w:rsid w:val="00350E69"/>
    <w:rsid w:val="0035584F"/>
    <w:rsid w:val="00390C0C"/>
    <w:rsid w:val="003A2F5A"/>
    <w:rsid w:val="003F622B"/>
    <w:rsid w:val="00405DF1"/>
    <w:rsid w:val="00431F6E"/>
    <w:rsid w:val="00441928"/>
    <w:rsid w:val="00454130"/>
    <w:rsid w:val="0046233A"/>
    <w:rsid w:val="004855CF"/>
    <w:rsid w:val="004C6175"/>
    <w:rsid w:val="004E496F"/>
    <w:rsid w:val="004F4F53"/>
    <w:rsid w:val="0051135D"/>
    <w:rsid w:val="00520F4C"/>
    <w:rsid w:val="0055463E"/>
    <w:rsid w:val="00563489"/>
    <w:rsid w:val="00590F26"/>
    <w:rsid w:val="00592A29"/>
    <w:rsid w:val="005949DC"/>
    <w:rsid w:val="005A75E2"/>
    <w:rsid w:val="005B23E8"/>
    <w:rsid w:val="005E4261"/>
    <w:rsid w:val="005E4F26"/>
    <w:rsid w:val="005F59BB"/>
    <w:rsid w:val="0067194A"/>
    <w:rsid w:val="006760AF"/>
    <w:rsid w:val="006A265E"/>
    <w:rsid w:val="006A760B"/>
    <w:rsid w:val="006C35AA"/>
    <w:rsid w:val="00711D05"/>
    <w:rsid w:val="00794F5A"/>
    <w:rsid w:val="007E2E9B"/>
    <w:rsid w:val="008155A4"/>
    <w:rsid w:val="008434C6"/>
    <w:rsid w:val="00876645"/>
    <w:rsid w:val="008A47A4"/>
    <w:rsid w:val="008B1673"/>
    <w:rsid w:val="008C3BA3"/>
    <w:rsid w:val="008E7F5B"/>
    <w:rsid w:val="008F6439"/>
    <w:rsid w:val="009074AA"/>
    <w:rsid w:val="00917406"/>
    <w:rsid w:val="009330E9"/>
    <w:rsid w:val="009339A7"/>
    <w:rsid w:val="00940419"/>
    <w:rsid w:val="0094670A"/>
    <w:rsid w:val="009C1F16"/>
    <w:rsid w:val="00A31987"/>
    <w:rsid w:val="00A352D2"/>
    <w:rsid w:val="00AC6EFA"/>
    <w:rsid w:val="00B21FA0"/>
    <w:rsid w:val="00B368D7"/>
    <w:rsid w:val="00B4228B"/>
    <w:rsid w:val="00B52CC9"/>
    <w:rsid w:val="00BF1C9E"/>
    <w:rsid w:val="00C40910"/>
    <w:rsid w:val="00C40BCC"/>
    <w:rsid w:val="00C422AE"/>
    <w:rsid w:val="00C749E0"/>
    <w:rsid w:val="00CA536C"/>
    <w:rsid w:val="00CC5051"/>
    <w:rsid w:val="00CE6E61"/>
    <w:rsid w:val="00D21AC7"/>
    <w:rsid w:val="00D3617D"/>
    <w:rsid w:val="00D52D40"/>
    <w:rsid w:val="00DE091F"/>
    <w:rsid w:val="00DE738F"/>
    <w:rsid w:val="00E20844"/>
    <w:rsid w:val="00E750C3"/>
    <w:rsid w:val="00E8219E"/>
    <w:rsid w:val="00EB01E1"/>
    <w:rsid w:val="00EB1BFB"/>
    <w:rsid w:val="00F02922"/>
    <w:rsid w:val="00F13E28"/>
    <w:rsid w:val="00F328FE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2C71-2016-4FC6-8B4B-1493671F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Jurgita Jurkonyte</cp:lastModifiedBy>
  <cp:revision>2</cp:revision>
  <cp:lastPrinted>2017-11-16T06:09:00Z</cp:lastPrinted>
  <dcterms:created xsi:type="dcterms:W3CDTF">2018-02-19T09:11:00Z</dcterms:created>
  <dcterms:modified xsi:type="dcterms:W3CDTF">2018-02-19T09:11:00Z</dcterms:modified>
</cp:coreProperties>
</file>